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sz w:val="36"/>
          <w:szCs w:val="36"/>
        </w:rPr>
      </w:pPr>
      <w:r>
        <w:rPr>
          <w:rFonts w:cs="Times New Roman" w:ascii="Times New Roman" w:hAnsi="Times New Roman"/>
          <w:b/>
          <w:sz w:val="36"/>
          <w:szCs w:val="36"/>
        </w:rPr>
      </w:r>
    </w:p>
    <w:p>
      <w:pPr>
        <w:pStyle w:val="Normal"/>
        <w:spacing w:lineRule="auto" w:line="240" w:before="0" w:after="0"/>
        <w:jc w:val="center"/>
        <w:rPr>
          <w:rFonts w:ascii="Times New Roman" w:hAnsi="Times New Roman" w:cs="Times New Roman"/>
          <w:b/>
          <w:b/>
          <w:sz w:val="36"/>
          <w:szCs w:val="36"/>
        </w:rPr>
      </w:pPr>
      <w:r>
        <w:rPr>
          <w:rFonts w:cs="Times New Roman" w:ascii="Times New Roman" w:hAnsi="Times New Roman"/>
          <w:b/>
          <w:sz w:val="36"/>
          <w:szCs w:val="36"/>
        </w:rPr>
        <w:t xml:space="preserve">SMLOUVA O NÁJMU PROSTOR </w:t>
      </w:r>
    </w:p>
    <w:p>
      <w:pPr>
        <w:pStyle w:val="Normal"/>
        <w:spacing w:lineRule="auto" w:line="240" w:before="0" w:after="0"/>
        <w:jc w:val="center"/>
        <w:rPr>
          <w:rFonts w:ascii="Times New Roman" w:hAnsi="Times New Roman" w:cs="Times New Roman"/>
          <w:b/>
          <w:b/>
          <w:sz w:val="36"/>
          <w:szCs w:val="36"/>
        </w:rPr>
      </w:pPr>
      <w:r>
        <w:rPr>
          <w:rFonts w:cs="Times New Roman" w:ascii="Times New Roman" w:hAnsi="Times New Roman"/>
          <w:b/>
          <w:sz w:val="36"/>
          <w:szCs w:val="36"/>
        </w:rPr>
        <w:t>SLOUŽÍCÍCH K PODNIKÁNÍ</w:t>
      </w:r>
    </w:p>
    <w:p>
      <w:pPr>
        <w:pStyle w:val="Normal"/>
        <w:spacing w:lineRule="auto" w:line="240" w:before="0" w:after="0"/>
        <w:jc w:val="center"/>
        <w:rPr>
          <w:rFonts w:ascii="Times New Roman" w:hAnsi="Times New Roman" w:cs="Times New Roman"/>
          <w:b/>
          <w:b/>
          <w:sz w:val="36"/>
          <w:szCs w:val="36"/>
        </w:rPr>
      </w:pPr>
      <w:r>
        <w:rPr>
          <w:rFonts w:cs="Times New Roman" w:ascii="Times New Roman" w:hAnsi="Times New Roman"/>
          <w:b/>
          <w:sz w:val="36"/>
          <w:szCs w:val="36"/>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uzavřená podle § 2201 a násl. </w:t>
      </w:r>
    </w:p>
    <w:p>
      <w:pPr>
        <w:pStyle w:val="Normal"/>
        <w:tabs>
          <w:tab w:val="clear" w:pos="737"/>
        </w:tabs>
        <w:spacing w:lineRule="auto" w:line="240" w:before="0" w:after="0"/>
        <w:ind w:left="709" w:hanging="709"/>
        <w:jc w:val="center"/>
        <w:rPr>
          <w:rFonts w:ascii="Times New Roman" w:hAnsi="Times New Roman" w:cs="Times New Roman"/>
          <w:sz w:val="24"/>
          <w:szCs w:val="24"/>
        </w:rPr>
      </w:pPr>
      <w:r>
        <w:rPr>
          <w:rFonts w:cs="Times New Roman" w:ascii="Times New Roman" w:hAnsi="Times New Roman"/>
          <w:sz w:val="24"/>
          <w:szCs w:val="24"/>
        </w:rPr>
        <w:t>zákona č. 89/2012 Sb., občanský zákoník v platném znění</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t>Dále uvedeného dne, měsíce a roku uzavřeli:</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numPr>
          <w:ilvl w:val="0"/>
          <w:numId w:val="6"/>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left="284" w:hanging="360"/>
        <w:jc w:val="both"/>
        <w:rPr>
          <w:rFonts w:ascii="Times New Roman" w:hAnsi="Times New Roman" w:cs="Times New Roman"/>
          <w:szCs w:val="24"/>
        </w:rPr>
      </w:pPr>
      <w:r>
        <w:rPr>
          <w:rFonts w:cs="Times New Roman" w:ascii="Times New Roman" w:hAnsi="Times New Roman"/>
          <w:b/>
          <w:bCs/>
          <w:szCs w:val="24"/>
        </w:rPr>
        <w:t xml:space="preserve">Tělovýchovná jednota SOKOL Leština, z.s., </w:t>
      </w:r>
      <w:r>
        <w:rPr>
          <w:rFonts w:cs="Times New Roman" w:ascii="Times New Roman" w:hAnsi="Times New Roman"/>
          <w:szCs w:val="24"/>
        </w:rPr>
        <w:t>IČO 43961576, se sídlem Družstevní 92, 789 71 Leština, zastoupená předsedou Mgr. Janou Havlíčkovou a místopředsedou Michalem Kejíkem.</w:t>
      </w:r>
    </w:p>
    <w:p>
      <w:pPr>
        <w:pStyle w:val="Normal"/>
        <w:spacing w:before="0" w:after="120"/>
        <w:ind w:left="284" w:hanging="0"/>
        <w:jc w:val="both"/>
        <w:rPr>
          <w:rFonts w:ascii="Times New Roman" w:hAnsi="Times New Roman" w:cs="Times New Roman"/>
          <w:i/>
          <w:i/>
          <w:sz w:val="24"/>
          <w:szCs w:val="24"/>
        </w:rPr>
      </w:pPr>
      <w:r>
        <w:rPr>
          <w:rFonts w:cs="Times New Roman" w:ascii="Times New Roman" w:hAnsi="Times New Roman"/>
          <w:i/>
          <w:sz w:val="24"/>
          <w:szCs w:val="24"/>
        </w:rPr>
        <w:t xml:space="preserve">na straně jedné, dále též jako  </w:t>
      </w:r>
      <w:r>
        <w:rPr>
          <w:rFonts w:cs="Times New Roman" w:ascii="Times New Roman" w:hAnsi="Times New Roman"/>
          <w:b/>
          <w:bCs/>
          <w:i/>
          <w:sz w:val="24"/>
          <w:szCs w:val="24"/>
        </w:rPr>
        <w:t>p r o n a j í m a t e l</w:t>
      </w:r>
      <w:r>
        <w:rPr>
          <w:rFonts w:cs="Times New Roman" w:ascii="Times New Roman" w:hAnsi="Times New Roman"/>
          <w:b/>
          <w:bCs/>
          <w:i/>
          <w:sz w:val="24"/>
          <w:szCs w:val="24"/>
          <w:shd w:fill="auto" w:val="clear"/>
        </w:rPr>
        <w:t xml:space="preserve">  </w:t>
      </w:r>
      <w:r>
        <w:rPr>
          <w:rFonts w:cs="Times New Roman" w:ascii="Times New Roman" w:hAnsi="Times New Roman"/>
          <w:b/>
          <w:bCs/>
          <w:i/>
          <w:sz w:val="24"/>
          <w:szCs w:val="24"/>
          <w:shd w:fill="auto" w:val="clear"/>
        </w:rPr>
        <w:t>či  n á j e m ce</w:t>
      </w:r>
    </w:p>
    <w:p>
      <w:pPr>
        <w:pStyle w:val="Normal"/>
        <w:ind w:left="284" w:hanging="0"/>
        <w:jc w:val="both"/>
        <w:rPr>
          <w:rFonts w:ascii="Times New Roman" w:hAnsi="Times New Roman" w:cs="Times New Roman"/>
          <w:sz w:val="24"/>
          <w:szCs w:val="24"/>
        </w:rPr>
      </w:pPr>
      <w:r>
        <w:rPr>
          <w:rFonts w:cs="Times New Roman" w:ascii="Times New Roman" w:hAnsi="Times New Roman"/>
          <w:sz w:val="24"/>
          <w:szCs w:val="24"/>
        </w:rPr>
        <w:t>a</w:t>
      </w:r>
    </w:p>
    <w:p>
      <w:pPr>
        <w:pStyle w:val="Normal"/>
        <w:ind w:left="284" w:hanging="0"/>
        <w:jc w:val="both"/>
        <w:rPr>
          <w:rFonts w:ascii="Times New Roman" w:hAnsi="Times New Roman" w:cs="Times New Roman"/>
          <w:sz w:val="24"/>
          <w:szCs w:val="24"/>
        </w:rPr>
      </w:pPr>
      <w:r>
        <w:rPr>
          <w:rFonts w:cs="Times New Roman" w:ascii="Times New Roman" w:hAnsi="Times New Roman"/>
          <w:sz w:val="24"/>
          <w:szCs w:val="24"/>
        </w:rPr>
      </w:r>
    </w:p>
    <w:p>
      <w:pPr>
        <w:pStyle w:val="Tlotextu"/>
        <w:numPr>
          <w:ilvl w:val="0"/>
          <w:numId w:val="6"/>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left="284" w:hanging="360"/>
        <w:jc w:val="both"/>
        <w:rPr>
          <w:rFonts w:ascii="Times New Roman" w:hAnsi="Times New Roman" w:cs="Times New Roman"/>
          <w:b/>
          <w:b/>
          <w:bCs/>
          <w:szCs w:val="24"/>
        </w:rPr>
      </w:pPr>
      <w:r>
        <w:rPr>
          <w:rFonts w:cs="Times New Roman" w:ascii="Times New Roman" w:hAnsi="Times New Roman"/>
          <w:b/>
          <w:bCs/>
          <w:szCs w:val="24"/>
        </w:rPr>
        <w:t>Název:</w:t>
        <w:tab/>
        <w:tab/>
      </w:r>
      <w:r>
        <w:rPr>
          <w:rFonts w:cs="Times New Roman" w:ascii="Times New Roman" w:hAnsi="Times New Roman"/>
          <w:b/>
          <w:bCs/>
          <w:szCs w:val="24"/>
          <w:shd w:fill="FFFF00" w:val="clear"/>
        </w:rPr>
        <w:t>…….…………………….</w:t>
      </w:r>
    </w:p>
    <w:p>
      <w:pPr>
        <w:pStyle w:val="Tlotextu"/>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left="284" w:hanging="360"/>
        <w:jc w:val="both"/>
        <w:rPr>
          <w:rFonts w:ascii="Times New Roman" w:hAnsi="Times New Roman" w:cs="Times New Roman"/>
          <w:b/>
          <w:b/>
          <w:bCs/>
          <w:szCs w:val="24"/>
        </w:rPr>
      </w:pPr>
      <w:r>
        <w:rPr>
          <w:rFonts w:cs="Times New Roman" w:ascii="Times New Roman" w:hAnsi="Times New Roman"/>
          <w:b/>
          <w:bCs/>
          <w:szCs w:val="24"/>
        </w:rPr>
        <w:tab/>
      </w:r>
      <w:r>
        <w:rPr>
          <w:rFonts w:cs="Times New Roman" w:ascii="Times New Roman" w:hAnsi="Times New Roman"/>
          <w:b w:val="false"/>
          <w:bCs w:val="false"/>
          <w:szCs w:val="24"/>
        </w:rPr>
        <w:t>Sídlo:</w:t>
        <w:tab/>
        <w:tab/>
      </w:r>
      <w:r>
        <w:rPr>
          <w:rFonts w:cs="Times New Roman" w:ascii="Times New Roman" w:hAnsi="Times New Roman"/>
          <w:b w:val="false"/>
          <w:bCs w:val="false"/>
          <w:szCs w:val="24"/>
          <w:shd w:fill="FFFF00" w:val="clear"/>
        </w:rPr>
        <w:t>…………………………..</w:t>
      </w:r>
    </w:p>
    <w:p>
      <w:pPr>
        <w:pStyle w:val="Tlotextu"/>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left="284" w:hanging="360"/>
        <w:jc w:val="both"/>
        <w:rPr>
          <w:b w:val="false"/>
          <w:b w:val="false"/>
          <w:bCs w:val="false"/>
        </w:rPr>
      </w:pPr>
      <w:r>
        <w:rPr>
          <w:rFonts w:cs="Times New Roman" w:ascii="Times New Roman" w:hAnsi="Times New Roman"/>
          <w:b w:val="false"/>
          <w:bCs w:val="false"/>
          <w:szCs w:val="24"/>
        </w:rPr>
        <w:tab/>
        <w:t>Zastoupena:</w:t>
        <w:tab/>
      </w:r>
      <w:r>
        <w:rPr>
          <w:rFonts w:cs="Times New Roman" w:ascii="Times New Roman" w:hAnsi="Times New Roman"/>
          <w:b w:val="false"/>
          <w:bCs w:val="false"/>
          <w:szCs w:val="24"/>
          <w:shd w:fill="FFFF00" w:val="clear"/>
        </w:rPr>
        <w:t>…………………………..</w:t>
      </w:r>
      <w:r>
        <w:rPr>
          <w:rFonts w:cs="Times New Roman" w:ascii="Times New Roman" w:hAnsi="Times New Roman"/>
          <w:b w:val="false"/>
          <w:bCs w:val="false"/>
          <w:szCs w:val="24"/>
          <w:shd w:fill="auto" w:val="clear"/>
        </w:rPr>
        <w:tab/>
      </w:r>
    </w:p>
    <w:p>
      <w:pPr>
        <w:pStyle w:val="Tlotextu"/>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left="284" w:hanging="360"/>
        <w:jc w:val="both"/>
        <w:rPr>
          <w:b w:val="false"/>
          <w:b w:val="false"/>
          <w:bCs w:val="false"/>
        </w:rPr>
      </w:pPr>
      <w:r>
        <w:rPr>
          <w:rFonts w:cs="Times New Roman" w:ascii="Times New Roman" w:hAnsi="Times New Roman"/>
          <w:b w:val="false"/>
          <w:bCs w:val="false"/>
          <w:szCs w:val="24"/>
        </w:rPr>
        <w:tab/>
        <w:t xml:space="preserve">IČO: </w:t>
        <w:tab/>
        <w:tab/>
      </w:r>
      <w:r>
        <w:rPr>
          <w:rFonts w:cs="Times New Roman" w:ascii="Times New Roman" w:hAnsi="Times New Roman"/>
          <w:b w:val="false"/>
          <w:bCs w:val="false"/>
          <w:color w:val="000000"/>
          <w:szCs w:val="24"/>
          <w:shd w:fill="FFFF00" w:val="clear"/>
        </w:rPr>
        <w:t>…………………………..</w:t>
      </w:r>
    </w:p>
    <w:p>
      <w:pPr>
        <w:pStyle w:val="Tlotextu"/>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left="284" w:hanging="360"/>
        <w:jc w:val="both"/>
        <w:rPr>
          <w:rFonts w:ascii="Times New Roman" w:hAnsi="Times New Roman" w:cs="Times New Roman"/>
          <w:b/>
          <w:b/>
          <w:bCs/>
          <w:szCs w:val="24"/>
        </w:rPr>
      </w:pPr>
      <w:r>
        <w:rPr>
          <w:rFonts w:cs="Times New Roman" w:ascii="Times New Roman" w:hAnsi="Times New Roman"/>
          <w:szCs w:val="24"/>
        </w:rPr>
        <w:tab/>
        <w:t>bankovní spojení:</w:t>
        <w:tab/>
      </w:r>
      <w:r>
        <w:rPr>
          <w:rFonts w:cs="Times New Roman" w:ascii="Times New Roman" w:hAnsi="Times New Roman"/>
          <w:b w:val="false"/>
          <w:bCs w:val="false"/>
          <w:szCs w:val="24"/>
          <w:shd w:fill="FFFF00" w:val="clear"/>
        </w:rPr>
        <w:t>…………………………..</w:t>
      </w:r>
    </w:p>
    <w:p>
      <w:pPr>
        <w:pStyle w:val="Normal"/>
        <w:ind w:firstLine="284"/>
        <w:jc w:val="both"/>
        <w:rPr>
          <w:rFonts w:ascii="Times New Roman" w:hAnsi="Times New Roman" w:cs="Times New Roman"/>
          <w:b/>
          <w:b/>
          <w:i/>
          <w:i/>
          <w:sz w:val="24"/>
          <w:szCs w:val="24"/>
        </w:rPr>
      </w:pPr>
      <w:r>
        <w:rPr>
          <w:rFonts w:cs="Times New Roman" w:ascii="Times New Roman" w:hAnsi="Times New Roman"/>
          <w:i/>
          <w:sz w:val="24"/>
          <w:szCs w:val="24"/>
        </w:rPr>
        <w:t>na straně druhé, dále též jak</w:t>
      </w:r>
      <w:r>
        <w:rPr>
          <w:rFonts w:cs="Times New Roman" w:ascii="Times New Roman" w:hAnsi="Times New Roman"/>
          <w:i/>
          <w:sz w:val="24"/>
          <w:szCs w:val="24"/>
          <w:shd w:fill="auto" w:val="clear"/>
        </w:rPr>
        <w:t xml:space="preserve">o  </w:t>
      </w:r>
      <w:r>
        <w:rPr>
          <w:rFonts w:cs="Times New Roman" w:ascii="Times New Roman" w:hAnsi="Times New Roman"/>
          <w:b/>
          <w:bCs/>
          <w:i/>
          <w:sz w:val="24"/>
          <w:szCs w:val="24"/>
          <w:shd w:fill="auto" w:val="clear"/>
        </w:rPr>
        <w:t>p o d n á j e m c e</w:t>
      </w:r>
      <w:r>
        <w:rPr>
          <w:rFonts w:cs="Times New Roman" w:ascii="Times New Roman" w:hAnsi="Times New Roman"/>
          <w:b/>
          <w:i/>
          <w:sz w:val="24"/>
          <w:szCs w:val="24"/>
          <w:shd w:fill="auto" w:val="clear"/>
        </w:rPr>
        <w:t xml:space="preserve"> </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b/>
          <w:b/>
          <w:i/>
          <w:i/>
          <w:szCs w:val="24"/>
        </w:rPr>
      </w:pPr>
      <w:r>
        <w:rPr>
          <w:rFonts w:cs="Times New Roman" w:ascii="Times New Roman" w:hAnsi="Times New Roman"/>
          <w:b/>
          <w:i/>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t>tuto</w:t>
      </w:r>
    </w:p>
    <w:p>
      <w:pPr>
        <w:pStyle w:val="Tlotextu"/>
        <w:ind w:left="709" w:hanging="709"/>
        <w:jc w:val="both"/>
        <w:rPr>
          <w:rFonts w:ascii="Times New Roman" w:hAnsi="Times New Roman" w:cs="Times New Roman"/>
          <w:szCs w:val="24"/>
        </w:rPr>
      </w:pPr>
      <w:r>
        <w:rPr>
          <w:rFonts w:cs="Times New Roman" w:ascii="Times New Roman" w:hAnsi="Times New Roman"/>
          <w:b/>
          <w:bCs/>
          <w:szCs w:val="24"/>
        </w:rPr>
        <w:tab/>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center"/>
        <w:rPr>
          <w:rFonts w:ascii="Times New Roman" w:hAnsi="Times New Roman" w:cs="Times New Roman"/>
          <w:b/>
          <w:b/>
          <w:sz w:val="28"/>
          <w:szCs w:val="28"/>
        </w:rPr>
      </w:pPr>
      <w:r>
        <w:rPr>
          <w:rFonts w:cs="Times New Roman" w:ascii="Times New Roman" w:hAnsi="Times New Roman"/>
          <w:b/>
          <w:sz w:val="28"/>
          <w:szCs w:val="28"/>
        </w:rPr>
        <w:t>s m l o u v u   o   podnájmu prostor určených k podnikání</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center"/>
        <w:rPr>
          <w:rFonts w:ascii="Times New Roman" w:hAnsi="Times New Roman" w:cs="Times New Roman"/>
          <w:b/>
          <w:b/>
          <w:szCs w:val="24"/>
        </w:rPr>
      </w:pPr>
      <w:r>
        <w:rPr>
          <w:rFonts w:cs="Times New Roman" w:ascii="Times New Roman" w:hAnsi="Times New Roman"/>
          <w:b/>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center"/>
        <w:rPr>
          <w:rFonts w:ascii="Times New Roman" w:hAnsi="Times New Roman" w:cs="Times New Roman"/>
          <w:b/>
          <w:b/>
          <w:szCs w:val="24"/>
        </w:rPr>
      </w:pPr>
      <w:r>
        <w:rPr>
          <w:rFonts w:cs="Times New Roman" w:ascii="Times New Roman" w:hAnsi="Times New Roman"/>
          <w:b/>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center"/>
        <w:rPr>
          <w:rFonts w:ascii="Times New Roman" w:hAnsi="Times New Roman" w:cs="Times New Roman"/>
          <w:b/>
          <w:b/>
          <w:szCs w:val="24"/>
        </w:rPr>
      </w:pPr>
      <w:r>
        <w:rPr>
          <w:rFonts w:cs="Times New Roman" w:ascii="Times New Roman" w:hAnsi="Times New Roman"/>
          <w:b/>
          <w:szCs w:val="24"/>
        </w:rPr>
        <w:t xml:space="preserve">I. </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center"/>
        <w:rPr>
          <w:rFonts w:ascii="Times New Roman" w:hAnsi="Times New Roman" w:cs="Times New Roman"/>
          <w:b/>
          <w:b/>
          <w:szCs w:val="24"/>
        </w:rPr>
      </w:pPr>
      <w:r>
        <w:rPr>
          <w:rFonts w:cs="Times New Roman" w:ascii="Times New Roman" w:hAnsi="Times New Roman"/>
          <w:b/>
          <w:szCs w:val="24"/>
        </w:rPr>
        <w:t>Předmět nájmu</w:t>
      </w:r>
    </w:p>
    <w:p>
      <w:pPr>
        <w:pStyle w:val="Standard"/>
        <w:numPr>
          <w:ilvl w:val="0"/>
          <w:numId w:val="2"/>
        </w:numPr>
        <w:spacing w:before="0" w:after="120"/>
        <w:ind w:left="567" w:hanging="567"/>
        <w:jc w:val="both"/>
        <w:rPr>
          <w:rFonts w:cs="Times New Roman"/>
          <w:i/>
          <w:i/>
        </w:rPr>
      </w:pPr>
      <w:r>
        <w:rPr>
          <w:rFonts w:cs="Times New Roman"/>
        </w:rPr>
        <w:t xml:space="preserve">Tělovýchovná jednota SOKOL Leština z.s. má uzavřenou platnou nájemní smlouvu s Obcí Leština ohledně nájmu stavby č.p. 338, která je součástí pozemku p.č. st. 297 v katastrálním území Leština u Zábřeha </w:t>
      </w:r>
      <w:r>
        <w:rPr>
          <w:rFonts w:cs="Times New Roman"/>
          <w:i/>
          <w:iCs/>
        </w:rPr>
        <w:t>(dále též jen jako „stavba“)</w:t>
      </w:r>
      <w:r>
        <w:rPr>
          <w:rFonts w:cs="Times New Roman"/>
        </w:rPr>
        <w:t xml:space="preserve">. Na základě nájemní smlouvy je Tělovýchovná jednota SOKOL Leština z.s. oprávněna uzavřít jako Nájemce smlouvu o podnájmu prostor určených k podnikání, a to kiosku vymezeného v přízemí stavby, kiosek představuje místnost k přímému prodeji zboží zejm. nápojů a potravin k rychlému občerstvení, sklad, sociální zařízení, a dále prostory s ubytovací kapacitou </w:t>
      </w:r>
      <w:r>
        <w:rPr>
          <w:rFonts w:cs="Times New Roman"/>
          <w:shd w:fill="auto" w:val="clear"/>
        </w:rPr>
        <w:t>vymezené v I. patře stavby zařízené jako turistická ubytovna.</w:t>
      </w:r>
    </w:p>
    <w:p>
      <w:pPr>
        <w:pStyle w:val="Standard"/>
        <w:numPr>
          <w:ilvl w:val="0"/>
          <w:numId w:val="2"/>
        </w:numPr>
        <w:ind w:left="567" w:hanging="567"/>
        <w:jc w:val="both"/>
        <w:rPr>
          <w:shd w:fill="auto" w:val="clear"/>
        </w:rPr>
      </w:pPr>
      <w:r>
        <w:rPr>
          <w:rFonts w:cs="Times New Roman"/>
          <w:shd w:fill="auto" w:val="clear"/>
        </w:rPr>
        <w:t>Podnájemce je držitelem živnostenského oprávnění v rozsahu odpovídajícím předmětu plnění.</w:t>
      </w:r>
    </w:p>
    <w:p>
      <w:pPr>
        <w:pStyle w:val="Standard"/>
        <w:jc w:val="center"/>
        <w:rPr>
          <w:rFonts w:cs="Times New Roman"/>
          <w:b/>
          <w:b/>
          <w:bCs/>
        </w:rPr>
      </w:pPr>
      <w:r>
        <w:rPr>
          <w:rFonts w:cs="Times New Roman"/>
          <w:b/>
          <w:bCs/>
        </w:rPr>
      </w:r>
    </w:p>
    <w:p>
      <w:pPr>
        <w:pStyle w:val="Standard"/>
        <w:spacing w:before="0" w:after="120"/>
        <w:jc w:val="center"/>
        <w:rPr>
          <w:rFonts w:cs="Times New Roman"/>
          <w:b/>
          <w:b/>
          <w:bCs/>
        </w:rPr>
      </w:pPr>
      <w:r>
        <w:rPr>
          <w:rFonts w:cs="Times New Roman"/>
          <w:b/>
          <w:bCs/>
        </w:rPr>
        <w:t>II.</w:t>
      </w:r>
    </w:p>
    <w:p>
      <w:pPr>
        <w:pStyle w:val="Standard"/>
        <w:spacing w:before="0" w:after="120"/>
        <w:jc w:val="center"/>
        <w:rPr>
          <w:rFonts w:cs="Times New Roman"/>
          <w:b/>
          <w:b/>
          <w:bCs/>
        </w:rPr>
      </w:pPr>
      <w:r>
        <w:rPr>
          <w:rFonts w:cs="Times New Roman"/>
          <w:b/>
          <w:bCs/>
        </w:rPr>
        <w:t>Právní jednání</w:t>
      </w:r>
    </w:p>
    <w:p>
      <w:pPr>
        <w:pStyle w:val="Standard"/>
        <w:widowControl w:val="false"/>
        <w:numPr>
          <w:ilvl w:val="0"/>
          <w:numId w:val="8"/>
        </w:numPr>
        <w:suppressAutoHyphens w:val="true"/>
        <w:bidi w:val="0"/>
        <w:spacing w:before="0" w:after="120"/>
        <w:ind w:left="624" w:right="0" w:hanging="624"/>
        <w:jc w:val="both"/>
        <w:textAlignment w:val="baseline"/>
        <w:rPr>
          <w:rFonts w:cs="Times New Roman"/>
        </w:rPr>
      </w:pPr>
      <w:r>
        <w:rPr>
          <w:rFonts w:cs="Times New Roman"/>
        </w:rPr>
        <w:t>Nájemce touto smlouvou přenechává podnájemci do užívání prostor určený k podnikání tj. část stavby č.p. 338, která je součástí pozemku p.č. v katastrálním území Leština. Na základě nájemní smlouvy je Tělovýchovná jednota SOKOL Leština z.s. oprávněna uzavřít jako Nájemce smlouvu o podnájmu prostor určených k podnikání, a to kiosku vymezeného v přízemí stavby, kiosek představuje místnost k přímému prodeji zboží zejm. nápojů a potravin k rychlému občerstvení, sklad, sociální zařízení, a dále prostory s ubytovací kapacitou vymezené v I. patře stavby zařízené jako turistická ubytovna, prostory jsou součástí pozemku p.č. st. 297 v k.ú. Leština u Zábřeha (</w:t>
      </w:r>
      <w:r>
        <w:rPr>
          <w:rFonts w:cs="Times New Roman"/>
          <w:i/>
        </w:rPr>
        <w:t>dále též jako „předmět podnájmu“)</w:t>
      </w:r>
      <w:r>
        <w:rPr>
          <w:rFonts w:cs="Times New Roman"/>
        </w:rPr>
        <w:t xml:space="preserve"> za účelem provozování podnikatelské činnosti podnájemce dle </w:t>
      </w:r>
      <w:r>
        <w:rPr>
          <w:rFonts w:cs="Times New Roman"/>
          <w:shd w:fill="auto" w:val="clear"/>
        </w:rPr>
        <w:t>odst. 2. tohoto článku a podnájemce se zavazuje za to platit nájemci nájemné.</w:t>
      </w:r>
    </w:p>
    <w:p>
      <w:pPr>
        <w:pStyle w:val="Standard"/>
        <w:widowControl w:val="false"/>
        <w:numPr>
          <w:ilvl w:val="0"/>
          <w:numId w:val="8"/>
        </w:numPr>
        <w:suppressAutoHyphens w:val="true"/>
        <w:bidi w:val="0"/>
        <w:spacing w:before="0" w:after="120"/>
        <w:ind w:left="624" w:right="0" w:hanging="624"/>
        <w:jc w:val="both"/>
        <w:textAlignment w:val="baseline"/>
        <w:rPr>
          <w:shd w:fill="auto" w:val="clear"/>
        </w:rPr>
      </w:pPr>
      <w:r>
        <w:rPr>
          <w:rFonts w:cs="Times New Roman"/>
          <w:shd w:fill="auto" w:val="clear"/>
        </w:rPr>
        <w:t>Vymezení rozsahu části podnájmu je vyznačeno ve schématu stavby, které je nedílnou součástí této smlouvy.</w:t>
      </w:r>
    </w:p>
    <w:p>
      <w:pPr>
        <w:pStyle w:val="Standard"/>
        <w:spacing w:before="0" w:after="120"/>
        <w:ind w:firstLine="567"/>
        <w:jc w:val="both"/>
        <w:rPr>
          <w:rFonts w:cs="Times New Roman"/>
          <w:shd w:fill="FFFF00" w:val="clear"/>
        </w:rPr>
      </w:pPr>
      <w:r>
        <w:rPr>
          <w:rFonts w:cs="Times New Roman"/>
          <w:shd w:fill="FFFF00" w:val="clear"/>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center"/>
        <w:rPr>
          <w:rFonts w:ascii="Times New Roman" w:hAnsi="Times New Roman" w:cs="Times New Roman"/>
          <w:b/>
          <w:b/>
          <w:szCs w:val="24"/>
        </w:rPr>
      </w:pPr>
      <w:r>
        <w:rPr>
          <w:rFonts w:cs="Times New Roman" w:ascii="Times New Roman" w:hAnsi="Times New Roman"/>
          <w:b/>
          <w:szCs w:val="24"/>
        </w:rPr>
        <w:t>III.</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center"/>
        <w:rPr>
          <w:rFonts w:ascii="Times New Roman" w:hAnsi="Times New Roman" w:cs="Times New Roman"/>
          <w:b/>
          <w:b/>
          <w:szCs w:val="24"/>
        </w:rPr>
      </w:pPr>
      <w:r>
        <w:rPr>
          <w:rFonts w:cs="Times New Roman" w:ascii="Times New Roman" w:hAnsi="Times New Roman"/>
          <w:b/>
          <w:szCs w:val="24"/>
        </w:rPr>
        <w:t>Trvání doby nájmu</w:t>
      </w:r>
    </w:p>
    <w:p>
      <w:pPr>
        <w:pStyle w:val="Tlotextu"/>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true"/>
        <w:bidi w:val="0"/>
        <w:spacing w:lineRule="auto" w:line="240" w:before="0" w:after="0"/>
        <w:ind w:left="0" w:right="0" w:hanging="0"/>
        <w:jc w:val="both"/>
        <w:rPr>
          <w:rFonts w:ascii="Times New Roman" w:hAnsi="Times New Roman" w:cs="Times New Roman"/>
          <w:b/>
          <w:b/>
          <w:szCs w:val="24"/>
        </w:rPr>
      </w:pPr>
      <w:r>
        <w:rPr>
          <w:rFonts w:cs="Times New Roman" w:ascii="Times New Roman" w:hAnsi="Times New Roman"/>
          <w:szCs w:val="24"/>
        </w:rPr>
        <w:t>1.</w:t>
        <w:tab/>
        <w:t>N</w:t>
      </w:r>
      <w:r>
        <w:rPr>
          <w:rFonts w:cs="Times New Roman" w:ascii="Times New Roman" w:hAnsi="Times New Roman"/>
          <w:szCs w:val="24"/>
          <w:shd w:fill="auto" w:val="clear"/>
        </w:rPr>
        <w:t xml:space="preserve">ájem se sjednává na dobu určitou, s počátkem práva nájmu od </w:t>
      </w:r>
      <w:r>
        <w:rPr>
          <w:rFonts w:cs="Times New Roman" w:ascii="Times New Roman" w:hAnsi="Times New Roman"/>
          <w:b/>
          <w:szCs w:val="24"/>
          <w:shd w:fill="auto" w:val="clear"/>
        </w:rPr>
        <w:t xml:space="preserve">1.7.2024 do 30.6.2027. </w:t>
      </w:r>
    </w:p>
    <w:p>
      <w:pPr>
        <w:pStyle w:val="Tlotextu"/>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true"/>
        <w:bidi w:val="0"/>
        <w:spacing w:lineRule="auto" w:line="240" w:before="0" w:after="0"/>
        <w:ind w:left="0" w:right="0" w:hanging="0"/>
        <w:jc w:val="both"/>
        <w:rPr>
          <w:shd w:fill="auto" w:val="clear"/>
        </w:rPr>
      </w:pPr>
      <w:r>
        <w:rPr>
          <w:rFonts w:cs="Times New Roman" w:ascii="Times New Roman" w:hAnsi="Times New Roman"/>
          <w:b w:val="false"/>
          <w:bCs w:val="false"/>
          <w:szCs w:val="24"/>
          <w:shd w:fill="auto" w:val="clear"/>
        </w:rPr>
        <w:t>2</w:t>
        <w:tab/>
        <w:t xml:space="preserve">Smluvní strany dále sjednávají automatické prodloužení doby nájmu o 2 roky od </w:t>
        <w:tab/>
        <w:t xml:space="preserve">skončení doby nájmu (zániku doby nájmu), a to v případě, pokud pronajímatel </w:t>
        <w:tab/>
        <w:t xml:space="preserve">nejpozději 2 měsíce před ukončením doby nájmu nesdělí podnájemci, že s </w:t>
        <w:tab/>
        <w:t xml:space="preserve">automatickým prodloužením doby nájmu nesouhlasí. Pronajímatel není povinen </w:t>
        <w:tab/>
        <w:t>sdělit podnájemci důvod nesouhlasu s automatickým prodloužením doby nájmu.</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b/>
          <w:b/>
          <w:szCs w:val="24"/>
          <w:shd w:fill="auto" w:val="clear"/>
        </w:rPr>
      </w:pPr>
      <w:r>
        <w:rPr>
          <w:rFonts w:cs="Times New Roman" w:ascii="Times New Roman" w:hAnsi="Times New Roman"/>
          <w:b/>
          <w:szCs w:val="24"/>
          <w:shd w:fill="auto" w:val="clear"/>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center"/>
        <w:rPr>
          <w:rFonts w:ascii="Times New Roman" w:hAnsi="Times New Roman" w:cs="Times New Roman"/>
          <w:b/>
          <w:b/>
          <w:szCs w:val="24"/>
        </w:rPr>
      </w:pPr>
      <w:r>
        <w:rPr>
          <w:rFonts w:cs="Times New Roman" w:ascii="Times New Roman" w:hAnsi="Times New Roman"/>
          <w:b/>
          <w:szCs w:val="24"/>
        </w:rPr>
        <w:t>IV.</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center"/>
        <w:rPr>
          <w:rFonts w:ascii="Times New Roman" w:hAnsi="Times New Roman" w:cs="Times New Roman"/>
          <w:b/>
          <w:b/>
          <w:szCs w:val="24"/>
        </w:rPr>
      </w:pPr>
      <w:r>
        <w:rPr>
          <w:rFonts w:cs="Times New Roman" w:ascii="Times New Roman" w:hAnsi="Times New Roman"/>
          <w:b/>
          <w:szCs w:val="24"/>
        </w:rPr>
        <w:t>Nájemné a úhrada za plnění poskytovaná s užíváním předmětu podnájmu</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b/>
          <w:b/>
          <w:szCs w:val="24"/>
        </w:rPr>
      </w:pPr>
      <w:r>
        <w:rPr>
          <w:rFonts w:cs="Times New Roman" w:ascii="Times New Roman" w:hAnsi="Times New Roman"/>
          <w:szCs w:val="24"/>
        </w:rPr>
        <w:t xml:space="preserve">Výše nájemného byla stanovena mezi nájemcem a podnájemcem dohodou. </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0"/>
        <w:jc w:val="both"/>
        <w:rPr>
          <w:rFonts w:ascii="Times New Roman" w:hAnsi="Times New Roman" w:cs="Times New Roman"/>
          <w:b/>
          <w:b/>
          <w:szCs w:val="24"/>
        </w:rPr>
      </w:pPr>
      <w:r>
        <w:rPr>
          <w:rFonts w:cs="Times New Roman" w:ascii="Times New Roman" w:hAnsi="Times New Roman"/>
          <w:b/>
          <w:szCs w:val="24"/>
        </w:rPr>
        <w:t xml:space="preserve">Měsíční nájemné je </w:t>
      </w:r>
      <w:r>
        <w:rPr>
          <w:rFonts w:cs="Times New Roman" w:ascii="Times New Roman" w:hAnsi="Times New Roman"/>
          <w:b/>
          <w:szCs w:val="24"/>
          <w:shd w:fill="FFFF00" w:val="clear"/>
        </w:rPr>
        <w:t>…………………….</w:t>
      </w:r>
      <w:r>
        <w:rPr>
          <w:rFonts w:cs="Times New Roman" w:ascii="Times New Roman" w:hAnsi="Times New Roman"/>
          <w:b/>
          <w:szCs w:val="24"/>
        </w:rPr>
        <w:t xml:space="preserve"> Kč včetně DPH.</w:t>
      </w:r>
    </w:p>
    <w:p>
      <w:pPr>
        <w:pStyle w:val="Tlotextu"/>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b/>
          <w:b/>
          <w:szCs w:val="24"/>
        </w:rPr>
      </w:pPr>
      <w:r>
        <w:rPr>
          <w:rFonts w:cs="Times New Roman" w:ascii="Times New Roman" w:hAnsi="Times New Roman"/>
          <w:szCs w:val="24"/>
        </w:rPr>
        <w:t xml:space="preserve">Vedle takto dohodnutého nájemného je podnájemce povinen platit i úhradu za plnění poskytovaná s užíváním předmětu nájmu, jako spotřebu elektrického proudu dle elektroměru, pokud nemá podnájemce uzavřenou samostatnou smlouvu na svoji odpovědnost s dodavateli energií. Podnájemce se zavazuje vedle nájemného </w:t>
      </w:r>
      <w:r>
        <w:rPr>
          <w:rFonts w:cs="Times New Roman" w:ascii="Times New Roman" w:hAnsi="Times New Roman"/>
          <w:b/>
          <w:szCs w:val="24"/>
        </w:rPr>
        <w:t xml:space="preserve">hradit měsíční zálohu na spotřebu energií ve výši </w:t>
      </w:r>
      <w:r>
        <w:rPr>
          <w:rFonts w:cs="Times New Roman" w:ascii="Times New Roman" w:hAnsi="Times New Roman"/>
          <w:b/>
          <w:szCs w:val="24"/>
          <w:shd w:fill="auto" w:val="clear"/>
        </w:rPr>
        <w:t>20 000 Kč. Cena může být upravená dle aktuálního vývoje cen na trhu.</w:t>
      </w:r>
    </w:p>
    <w:p>
      <w:pPr>
        <w:pStyle w:val="Tlotextu"/>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 xml:space="preserve">Nájemce je oprávněn jednostranně změnit výši záloh za služby, dojde-li ke změně skutečností rozhodných pro jejich výši, zejména v případě změny cen energií a služeb ze strany jednotlivých dodavatelů.       </w:t>
      </w:r>
    </w:p>
    <w:p>
      <w:pPr>
        <w:pStyle w:val="Tlotextu"/>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Vyúčtování poskytnutých záloh na dodávky energií a služeb spojených s užíváním předmětu podnájmu za příslušný kalendářní rok bude provedeno dle platných právních předpisů, vždy nejpozději do 90 dnů ode dne, kdy nájemce obdrží vyúčtování od dodavatele služeb a energií.</w:t>
      </w:r>
    </w:p>
    <w:p>
      <w:pPr>
        <w:pStyle w:val="Tlotextu"/>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 xml:space="preserve">Nájemné a zálohy na služby jsou splatné měsíčně, vždy nejpozději k 15. dni běžného kalendářního měsíce převodem </w:t>
      </w:r>
      <w:r>
        <w:rPr>
          <w:rFonts w:cs="Times New Roman" w:ascii="Times New Roman" w:hAnsi="Times New Roman"/>
          <w:b/>
          <w:szCs w:val="24"/>
        </w:rPr>
        <w:t>na účet nájemce číslo 203042534/0300</w:t>
      </w:r>
      <w:r>
        <w:rPr>
          <w:rFonts w:cs="Times New Roman" w:ascii="Times New Roman" w:hAnsi="Times New Roman"/>
          <w:szCs w:val="24"/>
        </w:rPr>
        <w:t xml:space="preserve"> Poštovní spořitelna, </w:t>
      </w:r>
      <w:r>
        <w:rPr>
          <w:rFonts w:cs="Times New Roman" w:ascii="Times New Roman" w:hAnsi="Times New Roman"/>
          <w:b/>
          <w:szCs w:val="24"/>
        </w:rPr>
        <w:t>VS 43961576</w:t>
      </w:r>
      <w:r>
        <w:rPr>
          <w:rFonts w:cs="Times New Roman" w:ascii="Times New Roman" w:hAnsi="Times New Roman"/>
          <w:szCs w:val="24"/>
        </w:rPr>
        <w:t xml:space="preserve">. Připadne-li tento den na den pracovního volna, klidu nebo státního svátku, nastane den splatnosti nájemného v nejblíže následující pracovní den. </w:t>
      </w:r>
      <w:r>
        <w:rPr>
          <w:rFonts w:cs="Times New Roman" w:ascii="Times New Roman" w:hAnsi="Times New Roman"/>
          <w:b/>
          <w:szCs w:val="24"/>
        </w:rPr>
        <w:t>Vyrovnání záloh proběhne vždy čtvrtletně, po odsouhlasení stavu vodoměru, elektroměru a plynoměru.</w:t>
      </w:r>
      <w:r>
        <w:rPr>
          <w:rFonts w:cs="Times New Roman" w:ascii="Times New Roman" w:hAnsi="Times New Roman"/>
          <w:szCs w:val="24"/>
        </w:rPr>
        <w:t xml:space="preserve"> </w:t>
      </w:r>
    </w:p>
    <w:p>
      <w:pPr>
        <w:pStyle w:val="Tlotextu"/>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b/>
          <w:szCs w:val="24"/>
        </w:rPr>
        <w:t>Podkladem k platbě nájemného je tato smlouva</w:t>
      </w:r>
      <w:r>
        <w:rPr>
          <w:rFonts w:cs="Times New Roman" w:ascii="Times New Roman" w:hAnsi="Times New Roman"/>
          <w:szCs w:val="24"/>
        </w:rPr>
        <w:t>. Nájemné bude považováno za zaplacené včas, bude-li ve lhůtě splatnosti celá splatná částka připsána na účet nájemce.</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jc w:val="both"/>
        <w:rPr>
          <w:rFonts w:ascii="Times New Roman" w:hAnsi="Times New Roman" w:cs="Times New Roman"/>
          <w:szCs w:val="24"/>
        </w:rPr>
      </w:pPr>
      <w:r>
        <w:rPr>
          <w:rFonts w:cs="Times New Roman" w:ascii="Times New Roman" w:hAnsi="Times New Roman"/>
          <w:szCs w:val="24"/>
        </w:rPr>
        <w:t xml:space="preserve"> </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center"/>
        <w:rPr>
          <w:rFonts w:ascii="Times New Roman" w:hAnsi="Times New Roman" w:cs="Times New Roman"/>
          <w:b/>
          <w:b/>
          <w:szCs w:val="24"/>
        </w:rPr>
      </w:pPr>
      <w:r>
        <w:rPr>
          <w:rFonts w:cs="Times New Roman" w:ascii="Times New Roman" w:hAnsi="Times New Roman"/>
          <w:b/>
          <w:szCs w:val="24"/>
        </w:rPr>
        <w:t>V.</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center"/>
        <w:rPr>
          <w:rFonts w:ascii="Times New Roman" w:hAnsi="Times New Roman" w:cs="Times New Roman"/>
          <w:b/>
          <w:b/>
          <w:szCs w:val="24"/>
        </w:rPr>
      </w:pPr>
      <w:r>
        <w:rPr>
          <w:rFonts w:cs="Times New Roman" w:ascii="Times New Roman" w:hAnsi="Times New Roman"/>
          <w:b/>
          <w:szCs w:val="24"/>
        </w:rPr>
        <w:t>Práva a povinnosti spojené s nájmem předmětu podnájmu</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center"/>
        <w:rPr>
          <w:rFonts w:ascii="Times New Roman" w:hAnsi="Times New Roman" w:cs="Times New Roman"/>
          <w:b/>
          <w:b/>
          <w:szCs w:val="24"/>
        </w:rPr>
      </w:pPr>
      <w:r>
        <w:rPr>
          <w:rFonts w:cs="Times New Roman" w:ascii="Times New Roman" w:hAnsi="Times New Roman"/>
          <w:b/>
          <w:szCs w:val="24"/>
        </w:rPr>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Tato smlouva se řídí listinou „Podmínky k pronájmu kiosku a ubytovny ve víceúčelovém areálu v majetku obce Leština“, která je nedílnou součástí této smlouvy.</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 xml:space="preserve">Nájemce je povinen předat nájemci předmět podnájmu ve stavu způsobilém k řádnému užívání a zajistit nájemci plný a nerušený výkon práv spojených s užíváním předmětu podnájmu. </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b/>
          <w:b/>
          <w:szCs w:val="24"/>
        </w:rPr>
      </w:pPr>
      <w:r>
        <w:rPr>
          <w:rFonts w:cs="Times New Roman" w:ascii="Times New Roman" w:hAnsi="Times New Roman"/>
          <w:b/>
          <w:szCs w:val="24"/>
        </w:rPr>
        <w:t xml:space="preserve">Podnájemce předmětu podnájmu </w:t>
      </w:r>
      <w:bookmarkStart w:id="0" w:name="_Hlk536458625"/>
      <w:r>
        <w:rPr>
          <w:rFonts w:cs="Times New Roman" w:ascii="Times New Roman" w:hAnsi="Times New Roman"/>
          <w:b/>
          <w:szCs w:val="24"/>
        </w:rPr>
        <w:t>má vedle práva užívat předmět podnájmu podle této smlouvy i právo užívat</w:t>
      </w:r>
      <w:bookmarkEnd w:id="0"/>
      <w:r>
        <w:rPr>
          <w:rFonts w:cs="Times New Roman" w:ascii="Times New Roman" w:hAnsi="Times New Roman"/>
          <w:b/>
          <w:szCs w:val="24"/>
        </w:rPr>
        <w:t xml:space="preserve"> i část pozemku p.č. 578/4.</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Nájemce vyznačil v schématu, které je přílohou této smlouvy nájemci část pozemku.</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 xml:space="preserve">Podnájemce je povinen užívat předmět podnájmu, společné prostory a zařízení stavby řádně a také řádně požívat plnění, jejichž poskytování je s užíváním předmětu podnájmu spojeno, a pečovat o předmět podnájmu tak, aby na něm nevznikla škoda. </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 xml:space="preserve">Podnájemce je povinen po předchozí písemné výzvě umožnit nájemci nebo jím pověřené osobě přístup k předmětu nájmu a k technickým zařízením, pokud jsou součástí předmětu podnájmu a patří nájemci nebo vlastníku stavby. Podnájemce je povinen zpřístupnit nájemci nebo jeho zástupci předmět podnájmu pro provedení odečtů naměřených hodnot spotřeby energií. Bezdůvodné opakované odepření přístupu nájemce v rozsahu a za účelem, jak zde uvedeno, bude vždy považováno za hrubé porušení povinností podnájemce a důvod k výpovědi nájmu. </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Podnájemce je povinen umožnit nájemci výkon jeho práva kontroly, zda je předmět nájmu užíván řádným způsobem, a to minimálně dvakrát ročně. Nájemce je povinen tuto kontrolu nahlásit jeden týden před jejím provedením. V případě že kontrola nebude nájemci umožněna, bude takové porušení smlouvy považováno za její podstatné porušení s právem nájemce tuto smlouvu vypovědět.</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 xml:space="preserve">Podnájemce je povinen si v předmětu podnájmu hradit a zajišťovat drobné opravy a údržbu související s užíváním předmětu podnájmu. Podnájemce je povinen odstranit závady a poškození, které v stavbě způsobil sám. Nepostará-li se podnájemce o včasné provedení nebo odstranění závad a poškození, je nájemce oprávněn učinit tak po předchozím písemném upozornění podnájemce na svůj náklad sám a požadovat od podnájemce náhradu nákladů, které takto vynaložil. Pro účely této smlouvy smluvní strany sjednávají, že za drobné opravy se považují takové opravy předmětu nájmu a jeho vybavení a výměny součástí jednotlivých předmětů tohoto vybavení, které jsou uvedené ve zvláštním právním předpise, jakož i opravy, u kterých náklad na jednu opravu nepřesáhne částku 5.000,- Kč na jednotlivou opravu. Ostatní opravy zajišťuje a hradí nájemce. </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 xml:space="preserve">Podnájemce je povinen bez zbytečného odkladu oznámit nájemci potřebu těch oprav v předmětu podnájmu, které zajišťuje nájemce, a umožnit jejich provedení, jinak odpovídá za škodu, která neplněním této povinnosti vznikla. Pokud nájemce nesplní povinnost odstranit závadu, která brání řádnému užívání předmětu podnájmu, je podnájemce oprávněn, po předchozím písemném upozornění, tuto závadu odstranit sám a náhradu účelně vynaložených nákladů požadovat na nájemci. Právo na náhradu nákladů musí uplatnit nejpozději do 6 měsíců ode dne, kdy byla závada odstraněna, jinak zaniká. </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 xml:space="preserve">Podnájemce nesmí provádět stavební úpravy ani jinou podstatnou změnu v předmětu podnájmu bez předchozího písemného souhlasu nájemce, a to ani na svůj náklad (toto ujednání se vztahuje i na instalaci satelitních či jiných anténních systémů na fasádu, střechu či jiné stavební konstrukce domu). Provádí-li takové změny nájemce na příkaz příslušného orgánu státní správy, je podnájemce povinen jejich provedení umožnit; jinak odpovídá za škodu, které nesplněním této povinnosti vznikla.                               </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 xml:space="preserve">Při výkonu svých práv je podnájemce povinen dbát, aby v areálu, kde je pozemek předmětu podnájmu bylo vytvořeno prostředí zajišťující uživatelům ostatních nemovitých věcí nerušený výkon jejich práv. </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 xml:space="preserve">Podnájemce je oprávněn užívat přenechávanou předmět podnájmu jen ke sjednanému účelu. Nemůže ji přenechat k užívání nikomu dalšímu, a to ani částečně. </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 xml:space="preserve">Podnájemce není oprávněn ohlásit sídlo firmy v předmětu podnájmu. </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 xml:space="preserve">Podnájemce se zavazuje provádět podnikatelskou činnost v předmětu podnájmu v souladu se právním řádem České republiky, když podnájemce i nájemce společně prohlašují, že veškeré případné následky z porušení této povinnosti jdou na vrub podnájemce. Nájemce se zříká odpovědnosti za škodu, kterou by podnájemce při užívání předmětu podnájmu způsobil a podnájemce se zavazuje pro případ, že proti nájemci kdokoli uplatnil nárok na náhradu škody způsobené z činnosti podnájemce, že nájemce takové povinnosti zprostí tím, že škodu nahradí za nájemce. </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bookmarkStart w:id="1" w:name="_Hlk536458041"/>
      <w:r>
        <w:rPr>
          <w:rFonts w:cs="Times New Roman" w:ascii="Times New Roman" w:hAnsi="Times New Roman"/>
          <w:szCs w:val="24"/>
        </w:rPr>
        <w:t>Nájemce výslovně upozorňuje podnájemce a podnájemce bere na vědomí, že předmětem nájmu je pouze prostor ohraničený obvodovou konstrukcí předmětu podnájmu. Nájemce a podnájemce se dohodli, že užívání jakékoli jiné části pozemku než je uvedeno v této smlouvě nebo jiných nemovitých věcí ve vlastnictví nájemce nebo vlastníka stavby podnájemcem způsobem, kterým podnájemce zasahuje do vlastnických práv nájemce, je považováno za podstatné porušení této smlouvy.</w:t>
      </w:r>
      <w:bookmarkEnd w:id="1"/>
      <w:r>
        <w:rPr>
          <w:rFonts w:cs="Times New Roman" w:ascii="Times New Roman" w:hAnsi="Times New Roman"/>
          <w:szCs w:val="24"/>
        </w:rPr>
        <w:t xml:space="preserve">                                                    </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13"/>
        <w:ind w:left="709" w:hanging="709"/>
        <w:jc w:val="both"/>
        <w:rPr>
          <w:rFonts w:ascii="Times New Roman" w:hAnsi="Times New Roman" w:cs="Times New Roman"/>
          <w:szCs w:val="24"/>
        </w:rPr>
      </w:pPr>
      <w:r>
        <w:rPr>
          <w:rFonts w:cs="Times New Roman" w:ascii="Times New Roman" w:hAnsi="Times New Roman"/>
          <w:szCs w:val="24"/>
        </w:rPr>
        <w:t xml:space="preserve">Po skončení podnájmu je podnájemce povinen předat předmět podnájmu ve stejném stavu, v jakém jej převzal, s přihlédnutím k běžnému opotřebení. Případnou škodu nad </w:t>
      </w:r>
      <w:r>
        <w:rPr>
          <w:rFonts w:cs="Times New Roman" w:ascii="Times New Roman" w:hAnsi="Times New Roman"/>
          <w:sz w:val="24"/>
          <w:szCs w:val="24"/>
        </w:rPr>
        <w:t>rámec běžného opotřebení nese podnájemce ze svého. O převzetí předmětu podnájmu a jeho součástí a příslušenstv</w:t>
      </w:r>
      <w:r>
        <w:rPr>
          <w:rFonts w:cs="Times New Roman" w:ascii="Times New Roman" w:hAnsi="Times New Roman"/>
          <w:sz w:val="24"/>
          <w:szCs w:val="24"/>
          <w:shd w:fill="auto" w:val="clear"/>
        </w:rPr>
        <w:t xml:space="preserve">í bude sepsán protokol o předání předmětu podnájmu.  </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13"/>
        <w:ind w:left="709" w:hanging="709"/>
        <w:jc w:val="both"/>
        <w:rPr>
          <w:shd w:fill="auto" w:val="clear"/>
        </w:rPr>
      </w:pPr>
      <w:r>
        <w:rPr>
          <w:rFonts w:cs="Times New Roman" w:ascii="Times New Roman" w:hAnsi="Times New Roman"/>
          <w:sz w:val="24"/>
          <w:szCs w:val="24"/>
          <w:shd w:fill="auto" w:val="clear"/>
        </w:rPr>
        <w:t>Likvidaci odpadů si zajišťuje nájemce.</w:t>
      </w:r>
    </w:p>
    <w:p>
      <w:pPr>
        <w:pStyle w:val="Tlotextu"/>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shd w:fill="auto" w:val="clear"/>
        </w:rPr>
      </w:pPr>
      <w:r>
        <w:rPr>
          <w:rFonts w:cs="Times New Roman" w:ascii="Times New Roman" w:hAnsi="Times New Roman"/>
          <w:sz w:val="24"/>
          <w:szCs w:val="24"/>
          <w:shd w:fill="auto" w:val="clear"/>
        </w:rPr>
        <w:t>Nájemce je povinen dodržovat obvyklá bezpečnostní a protipožární opatření a dodržovat obecně závazné předpisy na úseku bezpečnosti a ochrany zdraví, protipožární ochrany a hygieny – protiepidemiologie, vztahující se ke způsobu užívání předmětu nájmu.</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center"/>
        <w:rPr>
          <w:rFonts w:ascii="Times New Roman" w:hAnsi="Times New Roman" w:cs="Times New Roman"/>
          <w:b/>
          <w:b/>
          <w:szCs w:val="24"/>
        </w:rPr>
      </w:pPr>
      <w:r>
        <w:rPr>
          <w:rFonts w:cs="Times New Roman" w:ascii="Times New Roman" w:hAnsi="Times New Roman"/>
          <w:b/>
          <w:szCs w:val="24"/>
        </w:rPr>
        <w:t>VI.</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center"/>
        <w:rPr>
          <w:rFonts w:ascii="Times New Roman" w:hAnsi="Times New Roman" w:cs="Times New Roman"/>
          <w:b/>
          <w:b/>
          <w:szCs w:val="24"/>
        </w:rPr>
      </w:pPr>
      <w:r>
        <w:rPr>
          <w:rFonts w:cs="Times New Roman" w:ascii="Times New Roman" w:hAnsi="Times New Roman"/>
          <w:b/>
          <w:szCs w:val="24"/>
        </w:rPr>
        <w:t>Zánik nájmu předmětu podnájmu</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ab/>
        <w:t>Nájem předmětu podnájmu zaniká:</w:t>
      </w:r>
    </w:p>
    <w:p>
      <w:pPr>
        <w:pStyle w:val="Tlotextu"/>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uplynutím sjednané doby podnájmu,</w:t>
      </w:r>
    </w:p>
    <w:p>
      <w:pPr>
        <w:pStyle w:val="Tlotextu"/>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písemnou dohodou mezi nájemcem a podnájemcem,</w:t>
      </w:r>
    </w:p>
    <w:p>
      <w:pPr>
        <w:pStyle w:val="Tlotextu"/>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t>z důvodů uvedených v § 2288, 2291, Občanského zákoníku.</w:t>
      </w:r>
    </w:p>
    <w:p>
      <w:pPr>
        <w:pStyle w:val="Tlotextu"/>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b/>
          <w:b/>
          <w:szCs w:val="24"/>
        </w:rPr>
      </w:pPr>
      <w:r>
        <w:rPr>
          <w:rFonts w:cs="Times New Roman" w:ascii="Times New Roman" w:hAnsi="Times New Roman"/>
          <w:bCs/>
          <w:szCs w:val="24"/>
        </w:rPr>
        <w:t xml:space="preserve">Ke dni skončení nájmu je podnájemce povinen předmět podnájmu vyklidit, uvést do původního stavu, nedojde-li k jiné dohodě, a nájemci předat. </w:t>
      </w:r>
      <w:r>
        <w:rPr>
          <w:rFonts w:cs="Times New Roman" w:ascii="Times New Roman" w:hAnsi="Times New Roman"/>
          <w:b/>
          <w:bCs/>
          <w:szCs w:val="24"/>
        </w:rPr>
        <w:t xml:space="preserve">Nebude-li podnájemce pokračovat ve své činnosti po </w:t>
      </w:r>
      <w:r>
        <w:rPr>
          <w:rFonts w:cs="Times New Roman" w:ascii="Times New Roman" w:hAnsi="Times New Roman"/>
          <w:b/>
          <w:bCs/>
          <w:szCs w:val="24"/>
          <w:shd w:fill="auto" w:val="clear"/>
        </w:rPr>
        <w:t>uplynutí nájemní doby, je povinen veškeré prostory předat 7 dnů před touto lhůtou. Nevyklidí-li podnájemce předmět podnájmu ani do 15 dnů po skončení nájmu, je oprávněn tak učinit nájemce nebo jím zmocněná třetí osoba na náklady a nebezpečí podnájemce. Podnájemce se zavazuje tento stav strpět a náklady tím nájemci vzniklé v plné výši nahradit.</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b/>
          <w:b/>
          <w:szCs w:val="24"/>
        </w:rPr>
      </w:pPr>
      <w:r>
        <w:rPr>
          <w:rFonts w:cs="Times New Roman" w:ascii="Times New Roman" w:hAnsi="Times New Roman"/>
          <w:szCs w:val="24"/>
        </w:rPr>
        <w:tab/>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center"/>
        <w:rPr>
          <w:rFonts w:ascii="Times New Roman" w:hAnsi="Times New Roman" w:cs="Times New Roman"/>
          <w:b/>
          <w:b/>
          <w:szCs w:val="24"/>
        </w:rPr>
      </w:pPr>
      <w:r>
        <w:rPr>
          <w:rFonts w:cs="Times New Roman" w:ascii="Times New Roman" w:hAnsi="Times New Roman"/>
          <w:b/>
          <w:szCs w:val="24"/>
        </w:rPr>
        <w:t>VII.</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center"/>
        <w:rPr>
          <w:rFonts w:ascii="Times New Roman" w:hAnsi="Times New Roman" w:cs="Times New Roman"/>
          <w:b/>
          <w:b/>
          <w:szCs w:val="24"/>
        </w:rPr>
      </w:pPr>
      <w:r>
        <w:rPr>
          <w:rFonts w:cs="Times New Roman" w:ascii="Times New Roman" w:hAnsi="Times New Roman"/>
          <w:b/>
          <w:szCs w:val="24"/>
        </w:rPr>
        <w:t>Utvrzení závazku</w:t>
      </w:r>
    </w:p>
    <w:p>
      <w:pPr>
        <w:pStyle w:val="Tlotextu"/>
        <w:numPr>
          <w:ilvl w:val="0"/>
          <w:numId w:val="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426" w:hanging="360"/>
        <w:jc w:val="both"/>
        <w:rPr>
          <w:rFonts w:ascii="Times New Roman" w:hAnsi="Times New Roman" w:cs="Times New Roman"/>
          <w:szCs w:val="24"/>
        </w:rPr>
      </w:pPr>
      <w:r>
        <w:rPr>
          <w:rFonts w:cs="Times New Roman" w:ascii="Times New Roman" w:hAnsi="Times New Roman"/>
          <w:szCs w:val="24"/>
        </w:rPr>
        <w:t xml:space="preserve">Podnájemce nájemce výslovně sjednaly, že pro případ porušení povinnosti dle čl. III. odst. 1 a 4. a IV. této smlouvy, je porušující strana povinna zaplatit straně dotčené porušením smlouvy smluvní pokutu ve výši 1000,-Kč za každý den trvání závadného stavu, kterým dochází k porušování povinnosti dle výše uvedených článků III. </w:t>
      </w:r>
      <w:bookmarkStart w:id="2" w:name="_Hlk1466802"/>
      <w:r>
        <w:rPr>
          <w:rFonts w:cs="Times New Roman" w:ascii="Times New Roman" w:hAnsi="Times New Roman"/>
          <w:szCs w:val="24"/>
        </w:rPr>
        <w:t xml:space="preserve">odst. 1., 2. a 4. </w:t>
      </w:r>
      <w:bookmarkEnd w:id="2"/>
      <w:r>
        <w:rPr>
          <w:rFonts w:cs="Times New Roman" w:ascii="Times New Roman" w:hAnsi="Times New Roman"/>
          <w:szCs w:val="24"/>
        </w:rPr>
        <w:t>a čl. IV.  této smlouvy.</w:t>
      </w:r>
    </w:p>
    <w:p>
      <w:pPr>
        <w:pStyle w:val="Tlotextu"/>
        <w:numPr>
          <w:ilvl w:val="0"/>
          <w:numId w:val="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426" w:hanging="360"/>
        <w:jc w:val="both"/>
        <w:rPr>
          <w:rFonts w:ascii="Times New Roman" w:hAnsi="Times New Roman" w:cs="Times New Roman"/>
          <w:szCs w:val="24"/>
        </w:rPr>
      </w:pPr>
      <w:r>
        <w:rPr>
          <w:rFonts w:cs="Times New Roman" w:ascii="Times New Roman" w:hAnsi="Times New Roman"/>
          <w:szCs w:val="24"/>
        </w:rPr>
        <w:t>Smluvní pokuta je splatná ve lhůtě 10 dnů od odeslání písemné výzvy s vyúčtováním smluvní pokuty povinné straně na adresu uvedeno v záhlaví této smlouvy. Náhradní doručení se připouští.</w:t>
      </w:r>
    </w:p>
    <w:p>
      <w:pPr>
        <w:pStyle w:val="Tlotextu"/>
        <w:numPr>
          <w:ilvl w:val="0"/>
          <w:numId w:val="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426" w:hanging="360"/>
        <w:jc w:val="both"/>
        <w:rPr>
          <w:rFonts w:ascii="Times New Roman" w:hAnsi="Times New Roman" w:cs="Times New Roman"/>
          <w:szCs w:val="24"/>
        </w:rPr>
      </w:pPr>
      <w:r>
        <w:rPr>
          <w:rFonts w:cs="Times New Roman" w:ascii="Times New Roman" w:hAnsi="Times New Roman"/>
          <w:szCs w:val="24"/>
        </w:rPr>
        <w:t>Uplatněná výše smluvní pokuty se nedotýká práva poškozené strany na náhradu škody.</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center"/>
        <w:rPr>
          <w:rFonts w:ascii="Times New Roman" w:hAnsi="Times New Roman" w:cs="Times New Roman"/>
          <w:b/>
          <w:b/>
          <w:szCs w:val="24"/>
        </w:rPr>
      </w:pPr>
      <w:r>
        <w:rPr>
          <w:rFonts w:cs="Times New Roman" w:ascii="Times New Roman" w:hAnsi="Times New Roman"/>
          <w:b/>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center"/>
        <w:rPr>
          <w:rFonts w:ascii="Times New Roman" w:hAnsi="Times New Roman" w:cs="Times New Roman"/>
          <w:b/>
          <w:b/>
          <w:szCs w:val="24"/>
        </w:rPr>
      </w:pPr>
      <w:r>
        <w:rPr>
          <w:rFonts w:cs="Times New Roman" w:ascii="Times New Roman" w:hAnsi="Times New Roman"/>
          <w:b/>
          <w:szCs w:val="24"/>
        </w:rPr>
        <w:t>VIII.</w:t>
      </w:r>
      <w:bookmarkStart w:id="3" w:name="_Hlk536458530"/>
      <w:bookmarkEnd w:id="3"/>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20"/>
        <w:jc w:val="center"/>
        <w:rPr>
          <w:rFonts w:ascii="Times New Roman" w:hAnsi="Times New Roman" w:cs="Times New Roman"/>
          <w:b/>
          <w:b/>
          <w:szCs w:val="24"/>
        </w:rPr>
      </w:pPr>
      <w:r>
        <w:rPr>
          <w:rFonts w:cs="Times New Roman" w:ascii="Times New Roman" w:hAnsi="Times New Roman"/>
          <w:b/>
          <w:szCs w:val="24"/>
        </w:rPr>
        <w:t>Závěrečná ujednání</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20"/>
        <w:jc w:val="center"/>
        <w:rPr>
          <w:rFonts w:ascii="Times New Roman" w:hAnsi="Times New Roman" w:cs="Times New Roman"/>
          <w:b/>
          <w:b/>
          <w:szCs w:val="24"/>
        </w:rPr>
      </w:pPr>
      <w:r>
        <w:rPr>
          <w:rFonts w:cs="Times New Roman" w:ascii="Times New Roman" w:hAnsi="Times New Roman"/>
          <w:b/>
          <w:szCs w:val="24"/>
        </w:rPr>
      </w:r>
    </w:p>
    <w:p>
      <w:pPr>
        <w:pStyle w:val="Tlotextu"/>
        <w:widowControl w:val="false"/>
        <w:numPr>
          <w:ilvl w:val="0"/>
          <w:numId w:val="5"/>
        </w:numPr>
        <w:suppressAutoHyphens w:val="true"/>
        <w:bidi w:val="0"/>
        <w:spacing w:lineRule="auto" w:line="240" w:before="0" w:after="120"/>
        <w:ind w:left="454" w:right="0" w:hanging="454"/>
        <w:jc w:val="both"/>
        <w:rPr>
          <w:rFonts w:ascii="Times New Roman" w:hAnsi="Times New Roman"/>
        </w:rPr>
      </w:pPr>
      <w:r>
        <w:rPr>
          <w:rFonts w:cs="Times New Roman" w:ascii="Times New Roman" w:hAnsi="Times New Roman"/>
          <w:szCs w:val="24"/>
        </w:rPr>
        <w:t>Tato smlouva nabývá účinnosti dnem jejího podpisu smluvními stranami.</w:t>
      </w:r>
    </w:p>
    <w:p>
      <w:pPr>
        <w:pStyle w:val="Tlotextu"/>
        <w:widowControl w:val="false"/>
        <w:numPr>
          <w:ilvl w:val="0"/>
          <w:numId w:val="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40" w:before="0" w:after="120"/>
        <w:ind w:left="454" w:right="0" w:hanging="454"/>
        <w:jc w:val="both"/>
        <w:rPr>
          <w:rFonts w:ascii="Times New Roman" w:hAnsi="Times New Roman"/>
        </w:rPr>
      </w:pPr>
      <w:r>
        <w:rPr>
          <w:rFonts w:cs="Times New Roman" w:ascii="Times New Roman" w:hAnsi="Times New Roman"/>
          <w:szCs w:val="24"/>
        </w:rPr>
        <w:t>Obsah smlouvy může být měněn nebo doplňován pouze formou písemných číslovaných dodatků. Při výkladu této smlouvy, včetně případných dodatků, se nebude přihlížet k tomu, co jejímu uzavření předcházelo v jiné, než-li v písemné formě.</w:t>
      </w:r>
    </w:p>
    <w:p>
      <w:pPr>
        <w:pStyle w:val="Tlotextu"/>
        <w:widowControl w:val="false"/>
        <w:numPr>
          <w:ilvl w:val="0"/>
          <w:numId w:val="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40" w:before="0" w:after="120"/>
        <w:ind w:left="454" w:right="0" w:hanging="454"/>
        <w:jc w:val="both"/>
        <w:rPr>
          <w:rFonts w:ascii="Times New Roman" w:hAnsi="Times New Roman"/>
        </w:rPr>
      </w:pPr>
      <w:r>
        <w:rPr>
          <w:rFonts w:cs="Times New Roman" w:ascii="Times New Roman" w:hAnsi="Times New Roman"/>
          <w:szCs w:val="24"/>
        </w:rPr>
        <w:t>Práva a povinnosti smluvních stran touto smlouvou neupravené se řídí příslušnými ustanoveními občanského zákoníku. Pokud se jakékoli z ustanovení této smlouvy stane neplatné, nevykonatelné nebo neúčinné v důsledku změny právních předpisů v České republice, zavazují se smluvní strany nahradit takovéto ustanovení ustanovením novým, které svým obsahem bude co nejvíce odpovídat ustanovení, které se stalo neplatným, nevykonatelným či neúčinným.</w:t>
      </w:r>
    </w:p>
    <w:p>
      <w:pPr>
        <w:pStyle w:val="Tlotextu"/>
        <w:widowControl w:val="false"/>
        <w:numPr>
          <w:ilvl w:val="0"/>
          <w:numId w:val="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40" w:before="0" w:after="120"/>
        <w:ind w:left="454" w:right="0" w:hanging="454"/>
        <w:jc w:val="both"/>
        <w:rPr>
          <w:rFonts w:ascii="Times New Roman" w:hAnsi="Times New Roman"/>
        </w:rPr>
      </w:pPr>
      <w:r>
        <w:rPr>
          <w:rFonts w:cs="Times New Roman" w:ascii="Times New Roman" w:hAnsi="Times New Roman"/>
          <w:szCs w:val="24"/>
        </w:rPr>
        <w:t>Tato smlouva se vyhotovuje v počtu dvou (3) stejnopisů s platností originálu, kdy každá ze smluvních stran obdrží jedno vyhotovení smlouvy a jedno vyhotovení bude uloženo na obecním úřadě v Leštině.</w:t>
      </w:r>
    </w:p>
    <w:p>
      <w:pPr>
        <w:pStyle w:val="Tlotextu"/>
        <w:widowControl w:val="false"/>
        <w:numPr>
          <w:ilvl w:val="0"/>
          <w:numId w:val="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40" w:before="0" w:after="120"/>
        <w:ind w:left="454" w:right="0" w:hanging="454"/>
        <w:jc w:val="both"/>
        <w:rPr>
          <w:rFonts w:ascii="Times New Roman" w:hAnsi="Times New Roman" w:cs="Times New Roman"/>
          <w:szCs w:val="24"/>
        </w:rPr>
      </w:pPr>
      <w:r>
        <w:rPr>
          <w:rFonts w:cs="Times New Roman" w:ascii="Times New Roman" w:hAnsi="Times New Roman"/>
          <w:szCs w:val="24"/>
        </w:rPr>
        <w:t>Smluvní strany prohlašují, že si tuto smlouvu podrobně přečetly, zcela jednoznačně porozuměly jejímu obsahu, neuzavírají ji v tísni ani za nápadně nevýhodných podmínek, nejsou jim známy žádné skutečnosti, které by bránily jejímu uzavření, a takto ji v přítomnosti ověřující osoby podepisují.</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shd w:fill="auto" w:val="clear"/>
        </w:rPr>
      </w:pPr>
      <w:r>
        <w:rPr>
          <w:rFonts w:cs="Times New Roman" w:ascii="Times New Roman" w:hAnsi="Times New Roman"/>
          <w:szCs w:val="24"/>
          <w:shd w:fill="auto" w:val="clear"/>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shd w:fill="auto" w:val="clear"/>
        </w:rPr>
      </w:pPr>
      <w:r>
        <w:rPr>
          <w:rFonts w:cs="Times New Roman" w:ascii="Times New Roman" w:hAnsi="Times New Roman"/>
          <w:szCs w:val="24"/>
          <w:shd w:fill="auto" w:val="clear"/>
        </w:rPr>
        <w:t>Příloha č. 1:</w:t>
        <w:tab/>
        <w:t>schéma stavby</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shd w:fill="auto" w:val="clear"/>
        </w:rPr>
      </w:pPr>
      <w:r>
        <w:rPr>
          <w:rFonts w:cs="Times New Roman" w:ascii="Times New Roman" w:hAnsi="Times New Roman"/>
          <w:szCs w:val="24"/>
          <w:shd w:fill="auto" w:val="clear"/>
        </w:rPr>
        <w:t xml:space="preserve">Příloha č. 2: </w:t>
        <w:tab/>
        <w:t>další závazné podmínky smlouvy</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hanging="0"/>
        <w:jc w:val="both"/>
        <w:rPr/>
      </w:pPr>
      <w:r>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r>
    </w:p>
    <w:p>
      <w:pPr>
        <w:pStyle w:val="Tlotextu"/>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true"/>
        <w:bidi w:val="0"/>
        <w:spacing w:lineRule="auto" w:line="240" w:before="0" w:after="120"/>
        <w:ind w:left="0" w:right="0" w:hanging="0"/>
        <w:jc w:val="both"/>
        <w:rPr>
          <w:rFonts w:ascii="Times New Roman" w:hAnsi="Times New Roman" w:cs="Times New Roman"/>
          <w:szCs w:val="24"/>
        </w:rPr>
      </w:pPr>
      <w:r>
        <w:rPr>
          <w:rFonts w:cs="Times New Roman" w:ascii="Times New Roman" w:hAnsi="Times New Roman"/>
          <w:szCs w:val="24"/>
        </w:rPr>
        <w:t>V Leštině, dne …………..</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before="0" w:after="120"/>
        <w:ind w:hanging="0"/>
        <w:jc w:val="both"/>
        <w:rPr>
          <w:rFonts w:ascii="Times New Roman" w:hAnsi="Times New Roman" w:cs="Times New Roman"/>
          <w:szCs w:val="24"/>
        </w:rPr>
      </w:pPr>
      <w:r>
        <w:rPr>
          <w:rFonts w:cs="Times New Roman" w:ascii="Times New Roman" w:hAnsi="Times New Roman"/>
          <w:szCs w:val="24"/>
        </w:rPr>
        <w:t>Nájemce:</w:t>
        <w:tab/>
        <w:tab/>
        <w:tab/>
        <w:tab/>
        <w:tab/>
        <w:tab/>
        <w:tab/>
        <w:t>Podnájemce</w:t>
        <w:tab/>
        <w:tab/>
        <w:tab/>
        <w:tab/>
        <w:tab/>
        <w:tab/>
        <w:tab/>
        <w:tab/>
        <w:tab/>
        <w:tab/>
        <w:tab/>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t>.................................   .....................................</w:t>
        <w:tab/>
        <w:tab/>
        <w:tab/>
        <w:t>..........................................</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t>Tělovýchovná jednota SOKOL Leština, z.s.</w:t>
        <w:tab/>
        <w:tab/>
        <w:tab/>
        <w:t xml:space="preserve">     </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t xml:space="preserve">Mgr. Jana Havlíčková,     </w:t>
      </w:r>
      <w:r>
        <w:rPr>
          <w:rFonts w:eastAsia="Arial" w:cs="Times New Roman" w:ascii="Times New Roman" w:hAnsi="Times New Roman"/>
          <w:color w:val="auto"/>
          <w:kern w:val="0"/>
          <w:sz w:val="24"/>
          <w:szCs w:val="24"/>
          <w:lang w:val="cs-CZ" w:eastAsia="ar-SA" w:bidi="ar-SA"/>
        </w:rPr>
        <w:t>Michal Ke</w:t>
      </w:r>
      <w:r>
        <w:rPr>
          <w:rFonts w:eastAsia="Arial" w:cs="Times New Roman" w:ascii="Times New Roman" w:hAnsi="Times New Roman"/>
          <w:color w:val="auto"/>
          <w:kern w:val="0"/>
          <w:sz w:val="24"/>
          <w:szCs w:val="24"/>
          <w:lang w:val="cs-CZ" w:eastAsia="ar-SA" w:bidi="ar-SA"/>
        </w:rPr>
        <w:t>j</w:t>
      </w:r>
      <w:r>
        <w:rPr>
          <w:rFonts w:eastAsia="Arial" w:cs="Times New Roman" w:ascii="Times New Roman" w:hAnsi="Times New Roman"/>
          <w:color w:val="auto"/>
          <w:kern w:val="0"/>
          <w:sz w:val="24"/>
          <w:szCs w:val="24"/>
          <w:lang w:val="cs-CZ" w:eastAsia="ar-SA" w:bidi="ar-SA"/>
        </w:rPr>
        <w:t>ík</w:t>
      </w:r>
      <w:r>
        <w:rPr>
          <w:rFonts w:cs="Times New Roman" w:ascii="Times New Roman" w:hAnsi="Times New Roman"/>
          <w:szCs w:val="24"/>
        </w:rPr>
        <w:tab/>
        <w:tab/>
        <w:tab/>
        <w:t xml:space="preserve"> </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předseda                 místopředseda</w:t>
        <w:tab/>
        <w:tab/>
        <w:tab/>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5840" w:firstLine="28"/>
        <w:jc w:val="both"/>
        <w:rPr>
          <w:rFonts w:ascii="Times New Roman" w:hAnsi="Times New Roman" w:cs="Times New Roman"/>
          <w:szCs w:val="24"/>
        </w:rPr>
      </w:pPr>
      <w:r>
        <w:rPr>
          <w:rFonts w:cs="Times New Roman" w:ascii="Times New Roman" w:hAnsi="Times New Roman"/>
          <w:szCs w:val="24"/>
        </w:rPr>
        <w:t>…………………………</w:t>
      </w:r>
      <w:r>
        <w:rPr>
          <w:rFonts w:cs="Times New Roman" w:ascii="Times New Roman" w:hAnsi="Times New Roman"/>
          <w:szCs w:val="24"/>
        </w:rPr>
        <w:t>..</w:t>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5868" w:firstLine="28"/>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Fonts w:cs="Times New Roman" w:ascii="Times New Roman" w:hAnsi="Times New Roman"/>
          <w:szCs w:val="24"/>
        </w:rPr>
      </w:r>
    </w:p>
    <w:p>
      <w:pPr>
        <w:pStyle w:val="Tlotextu"/>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Rule="auto" w:line="240"/>
        <w:ind w:left="709" w:hanging="709"/>
        <w:jc w:val="both"/>
        <w:rPr>
          <w:rFonts w:ascii="Times New Roman" w:hAnsi="Times New Roman" w:cs="Times New Roman"/>
          <w:szCs w:val="24"/>
        </w:rPr>
      </w:pPr>
      <w:r>
        <w:rPr/>
      </w:r>
    </w:p>
    <w:sectPr>
      <w:headerReference w:type="default" r:id="rId2"/>
      <w:type w:val="nextPage"/>
      <w:pgSz w:w="11906" w:h="16838"/>
      <w:pgMar w:left="1440" w:right="1132" w:header="708" w:top="1417" w:footer="0" w:bottom="1417"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ind w:left="-567"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1800" w:hanging="360"/>
      </w:pPr>
      <w:rPr>
        <w:i w:val="false"/>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37"/>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Arial"/>
      <w:color w:val="auto"/>
      <w:kern w:val="0"/>
      <w:sz w:val="20"/>
      <w:szCs w:val="20"/>
      <w:lang w:val="cs-CZ" w:eastAsia="ar-SA" w:bidi="ar-SA"/>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Standardnpsmoodstavce1" w:customStyle="1">
    <w:name w:val="Standardní písmo odstavce1"/>
    <w:qFormat/>
    <w:rPr/>
  </w:style>
  <w:style w:type="character" w:styleId="Zkladntext2Char" w:customStyle="1">
    <w:name w:val="Základní text 2 Char"/>
    <w:uiPriority w:val="99"/>
    <w:semiHidden/>
    <w:qFormat/>
    <w:rsid w:val="007965e1"/>
    <w:rPr>
      <w:rFonts w:ascii="Arial" w:hAnsi="Arial" w:eastAsia="Arial" w:cs="Arial"/>
      <w:lang w:eastAsia="ar-SA"/>
    </w:rPr>
  </w:style>
  <w:style w:type="character" w:styleId="ZhlavChar" w:customStyle="1">
    <w:name w:val="Záhlaví Char"/>
    <w:basedOn w:val="DefaultParagraphFont"/>
    <w:uiPriority w:val="99"/>
    <w:qFormat/>
    <w:rsid w:val="006a2ee6"/>
    <w:rPr>
      <w:rFonts w:ascii="Arial" w:hAnsi="Arial" w:eastAsia="Arial" w:cs="Arial"/>
      <w:lang w:eastAsia="ar-SA"/>
    </w:rPr>
  </w:style>
  <w:style w:type="character" w:styleId="ZpatChar" w:customStyle="1">
    <w:name w:val="Zápatí Char"/>
    <w:basedOn w:val="DefaultParagraphFont"/>
    <w:uiPriority w:val="99"/>
    <w:qFormat/>
    <w:rsid w:val="006a2ee6"/>
    <w:rPr>
      <w:rFonts w:ascii="Arial" w:hAnsi="Arial" w:eastAsia="Arial" w:cs="Arial"/>
      <w:lang w:eastAsia="ar-SA"/>
    </w:rPr>
  </w:style>
  <w:style w:type="character" w:styleId="Symbolyproslovn">
    <w:name w:val="Symboly pro číslování"/>
    <w:qFormat/>
    <w:rPr/>
  </w:style>
  <w:style w:type="paragraph" w:styleId="Nadpis" w:customStyle="1">
    <w:name w:val="Nadpis"/>
    <w:basedOn w:val="Normal"/>
    <w:next w:val="Tlotextu"/>
    <w:qFormat/>
    <w:pPr>
      <w:keepNext w:val="true"/>
      <w:spacing w:before="240" w:after="120"/>
    </w:pPr>
    <w:rPr>
      <w:rFonts w:eastAsia="Lucida Sans Unicode" w:cs="Tahoma"/>
      <w:sz w:val="28"/>
      <w:szCs w:val="28"/>
    </w:rPr>
  </w:style>
  <w:style w:type="paragraph" w:styleId="Tlotextu">
    <w:name w:val="Body Text"/>
    <w:basedOn w:val="Normal"/>
    <w:semiHidden/>
    <w:pPr>
      <w:widowControl w:val="false"/>
      <w:tabs>
        <w:tab w:val="clear" w:pos="73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88"/>
    </w:pPr>
    <w:rPr>
      <w:sz w:val="24"/>
    </w:rPr>
  </w:style>
  <w:style w:type="paragraph" w:styleId="Seznam">
    <w:name w:val="List"/>
    <w:basedOn w:val="Tlotextu"/>
    <w:semiHidden/>
    <w:pPr/>
    <w:rPr>
      <w:rFonts w:cs="Tahoma"/>
    </w:rPr>
  </w:style>
  <w:style w:type="paragraph" w:styleId="Popisek" w:customStyle="1">
    <w:name w:val="Caption"/>
    <w:basedOn w:val="Normal"/>
    <w:qFormat/>
    <w:pPr>
      <w:suppressLineNumbers/>
      <w:spacing w:before="120" w:after="120"/>
    </w:pPr>
    <w:rPr>
      <w:rFonts w:cs="Tahoma"/>
      <w:i/>
      <w:iCs/>
      <w:sz w:val="24"/>
      <w:szCs w:val="24"/>
    </w:rPr>
  </w:style>
  <w:style w:type="paragraph" w:styleId="Rejstk" w:customStyle="1">
    <w:name w:val="Rejstřík"/>
    <w:basedOn w:val="Normal"/>
    <w:qFormat/>
    <w:pPr>
      <w:suppressLineNumbers/>
    </w:pPr>
    <w:rPr>
      <w:rFonts w:cs="Tahoma"/>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rsid w:val="00a7749d"/>
    <w:pPr>
      <w:ind w:left="720" w:hanging="0"/>
    </w:pPr>
    <w:rPr>
      <w:rFonts w:ascii="Times New Roman" w:hAnsi="Times New Roman" w:eastAsia="Times New Roman" w:cs="Times New Roman"/>
      <w:caps/>
      <w:sz w:val="24"/>
    </w:rPr>
  </w:style>
  <w:style w:type="paragraph" w:styleId="Zkladntext21" w:customStyle="1">
    <w:name w:val="Základní text 21"/>
    <w:basedOn w:val="Normal"/>
    <w:qFormat/>
    <w:rsid w:val="00a7749d"/>
    <w:pPr>
      <w:widowControl w:val="false"/>
      <w:jc w:val="both"/>
    </w:pPr>
    <w:rPr>
      <w:rFonts w:ascii="Times New Roman" w:hAnsi="Times New Roman" w:eastAsia="Times New Roman" w:cs="Times New Roman"/>
      <w:sz w:val="24"/>
      <w:szCs w:val="24"/>
      <w:lang w:eastAsia="zh-CN"/>
    </w:rPr>
  </w:style>
  <w:style w:type="paragraph" w:styleId="Zkladntext31" w:customStyle="1">
    <w:name w:val="Základní text 31"/>
    <w:basedOn w:val="Normal"/>
    <w:qFormat/>
    <w:rsid w:val="00a7749d"/>
    <w:pPr>
      <w:jc w:val="both"/>
    </w:pPr>
    <w:rPr>
      <w:rFonts w:ascii="Times New Roman" w:hAnsi="Times New Roman" w:eastAsia="Times New Roman" w:cs="Times New Roman"/>
      <w:sz w:val="22"/>
      <w:szCs w:val="24"/>
      <w:lang w:eastAsia="zh-CN"/>
    </w:rPr>
  </w:style>
  <w:style w:type="paragraph" w:styleId="Standard" w:customStyle="1">
    <w:name w:val="Standard"/>
    <w:qFormat/>
    <w:rsid w:val="00407b07"/>
    <w:pPr>
      <w:widowControl w:val="false"/>
      <w:suppressAutoHyphens w:val="true"/>
      <w:bidi w:val="0"/>
      <w:spacing w:before="0" w:after="0"/>
      <w:jc w:val="left"/>
      <w:textAlignment w:val="baseline"/>
    </w:pPr>
    <w:rPr>
      <w:rFonts w:ascii="Times New Roman" w:hAnsi="Times New Roman" w:eastAsia="Lucida Sans Unicode" w:cs="Mangal"/>
      <w:color w:val="auto"/>
      <w:kern w:val="2"/>
      <w:sz w:val="24"/>
      <w:szCs w:val="24"/>
      <w:lang w:val="cs-CZ" w:eastAsia="zh-CN" w:bidi="hi-IN"/>
    </w:rPr>
  </w:style>
  <w:style w:type="paragraph" w:styleId="BodyText2">
    <w:name w:val="Body Text 2"/>
    <w:basedOn w:val="Normal"/>
    <w:link w:val="Zkladntext2Char"/>
    <w:uiPriority w:val="99"/>
    <w:semiHidden/>
    <w:unhideWhenUsed/>
    <w:qFormat/>
    <w:rsid w:val="007965e1"/>
    <w:pPr>
      <w:spacing w:lineRule="auto" w:line="480" w:before="0" w:after="120"/>
    </w:pPr>
    <w:rPr/>
  </w:style>
  <w:style w:type="paragraph" w:styleId="Zhlavazpat">
    <w:name w:val="Záhlaví a zápatí"/>
    <w:basedOn w:val="Normal"/>
    <w:qFormat/>
    <w:pPr/>
    <w:rPr/>
  </w:style>
  <w:style w:type="paragraph" w:styleId="Zhlav">
    <w:name w:val="Header"/>
    <w:basedOn w:val="Normal"/>
    <w:link w:val="ZhlavChar"/>
    <w:uiPriority w:val="99"/>
    <w:unhideWhenUsed/>
    <w:rsid w:val="006a2ee6"/>
    <w:pPr>
      <w:tabs>
        <w:tab w:val="clear" w:pos="737"/>
        <w:tab w:val="center" w:pos="4536" w:leader="none"/>
        <w:tab w:val="right" w:pos="9072" w:leader="none"/>
      </w:tabs>
    </w:pPr>
    <w:rPr/>
  </w:style>
  <w:style w:type="paragraph" w:styleId="Zpat">
    <w:name w:val="Footer"/>
    <w:basedOn w:val="Normal"/>
    <w:link w:val="ZpatChar"/>
    <w:uiPriority w:val="99"/>
    <w:unhideWhenUsed/>
    <w:rsid w:val="006a2ee6"/>
    <w:pPr>
      <w:tabs>
        <w:tab w:val="clear" w:pos="737"/>
        <w:tab w:val="center" w:pos="4536" w:leader="none"/>
        <w:tab w:val="right" w:pos="9072" w:leader="none"/>
      </w:tabs>
    </w:pPr>
    <w:rPr/>
  </w:style>
  <w:style w:type="numbering" w:styleId="NoList" w:default="1">
    <w:name w:val="No List"/>
    <w:uiPriority w:val="99"/>
    <w:semiHidden/>
    <w:unhideWhenUsed/>
    <w:qFormat/>
  </w:style>
  <w:style w:type="numbering" w:styleId="WW8Num1" w:customStyle="1">
    <w:name w:val="WW8Num1"/>
    <w:qFormat/>
    <w:rsid w:val="00690d6f"/>
  </w:style>
  <w:style w:type="numbering" w:styleId="WW8Num2" w:customStyle="1">
    <w:name w:val="WW8Num2"/>
    <w:qFormat/>
    <w:rsid w:val="00690d6f"/>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Application>LibreOffice/7.0.5.2$Windows_X86_64 LibreOffice_project/64390860c6cd0aca4beafafcfd84613dd9dfb63a</Application>
  <AppVersion>15.0000</AppVersion>
  <Pages>6</Pages>
  <Words>1952</Words>
  <Characters>11364</Characters>
  <CharactersWithSpaces>13390</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2019-07-03T10:12:00Z</dcterms:created>
  <dc:creator>a</dc:creator>
  <dc:description/>
  <dc:language>cs-CZ</dc:language>
  <cp:lastModifiedBy>Eva Surmová</cp:lastModifiedBy>
  <cp:lastPrinted>2019-07-03T07:44:00Z</cp:lastPrinted>
  <dcterms:modified xsi:type="dcterms:W3CDTF">2024-04-18T12:29:19Z</dcterms:modified>
  <cp:revision>32</cp:revision>
  <dc:subject/>
  <dc:title>Advokátní kancelář JUDr</dc:title>
</cp:coreProperties>
</file>

<file path=docProps/custom.xml><?xml version="1.0" encoding="utf-8"?>
<Properties xmlns="http://schemas.openxmlformats.org/officeDocument/2006/custom-properties" xmlns:vt="http://schemas.openxmlformats.org/officeDocument/2006/docPropsVTypes"/>
</file>